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7A51" w14:textId="77777777" w:rsidR="00EE25A3" w:rsidRDefault="00EE25A3" w:rsidP="00CB20A8">
      <w:pPr>
        <w:jc w:val="center"/>
        <w:rPr>
          <w:rFonts w:ascii="Times New Roman" w:hAnsi="Times New Roman" w:cs="Times New Roman"/>
          <w:b/>
          <w:sz w:val="28"/>
          <w:szCs w:val="28"/>
        </w:rPr>
      </w:pPr>
    </w:p>
    <w:p w14:paraId="48C8DEFF" w14:textId="2302822C" w:rsidR="00CB20A8" w:rsidRPr="0048566F" w:rsidRDefault="00CB20A8" w:rsidP="00CB20A8">
      <w:pPr>
        <w:jc w:val="center"/>
        <w:rPr>
          <w:rFonts w:ascii="Times New Roman" w:hAnsi="Times New Roman" w:cs="Times New Roman"/>
          <w:b/>
          <w:sz w:val="28"/>
          <w:szCs w:val="28"/>
        </w:rPr>
      </w:pPr>
      <w:r w:rsidRPr="0048566F">
        <w:rPr>
          <w:rFonts w:ascii="Times New Roman" w:hAnsi="Times New Roman" w:cs="Times New Roman"/>
          <w:b/>
          <w:sz w:val="28"/>
          <w:szCs w:val="28"/>
        </w:rPr>
        <w:t>Construction &amp; Inspection Details</w:t>
      </w:r>
    </w:p>
    <w:p w14:paraId="32488F21" w14:textId="2AD63DEF" w:rsidR="00BE0F3C" w:rsidRDefault="00BE0F3C" w:rsidP="00CB20A8">
      <w:pPr>
        <w:jc w:val="center"/>
        <w:rPr>
          <w:rFonts w:ascii="Times New Roman" w:hAnsi="Times New Roman" w:cs="Times New Roman"/>
          <w:b/>
          <w:i/>
          <w:sz w:val="28"/>
          <w:szCs w:val="28"/>
        </w:rPr>
      </w:pPr>
      <w:r>
        <w:rPr>
          <w:rFonts w:ascii="Times New Roman" w:hAnsi="Times New Roman" w:cs="Times New Roman"/>
          <w:b/>
          <w:i/>
          <w:sz w:val="28"/>
          <w:szCs w:val="28"/>
        </w:rPr>
        <w:t>Material Testing,</w:t>
      </w:r>
      <w:r w:rsidR="00FF4826">
        <w:rPr>
          <w:rFonts w:ascii="Times New Roman" w:hAnsi="Times New Roman" w:cs="Times New Roman"/>
          <w:b/>
          <w:i/>
          <w:sz w:val="28"/>
          <w:szCs w:val="28"/>
        </w:rPr>
        <w:t xml:space="preserve"> Sampling &amp;</w:t>
      </w:r>
      <w:r>
        <w:rPr>
          <w:rFonts w:ascii="Times New Roman" w:hAnsi="Times New Roman" w:cs="Times New Roman"/>
          <w:b/>
          <w:i/>
          <w:sz w:val="28"/>
          <w:szCs w:val="28"/>
        </w:rPr>
        <w:t xml:space="preserve"> Certification</w:t>
      </w:r>
      <w:r w:rsidR="00FF4826">
        <w:rPr>
          <w:rFonts w:ascii="Times New Roman" w:hAnsi="Times New Roman" w:cs="Times New Roman"/>
          <w:b/>
          <w:i/>
          <w:sz w:val="28"/>
          <w:szCs w:val="28"/>
        </w:rPr>
        <w:t>s</w:t>
      </w:r>
    </w:p>
    <w:p w14:paraId="2783C09F" w14:textId="25B080A2" w:rsidR="00CB20A8" w:rsidRPr="00A37B89" w:rsidRDefault="005E6D58" w:rsidP="005E6D58">
      <w:pPr>
        <w:pStyle w:val="ListParagraph"/>
        <w:numPr>
          <w:ilvl w:val="0"/>
          <w:numId w:val="1"/>
        </w:numPr>
        <w:rPr>
          <w:rFonts w:ascii="Century" w:hAnsi="Century" w:cs="Times New Roman"/>
          <w:sz w:val="24"/>
          <w:szCs w:val="24"/>
        </w:rPr>
      </w:pPr>
      <w:r w:rsidRPr="00E336FB">
        <w:rPr>
          <w:rFonts w:ascii="Century" w:hAnsi="Century" w:cs="Times New Roman"/>
          <w:sz w:val="24"/>
          <w:szCs w:val="24"/>
        </w:rPr>
        <w:t xml:space="preserve">The minimum number of samples and tests required will be determined by the construction contract and the frequency guide schedule in the </w:t>
      </w:r>
      <w:hyperlink r:id="rId5" w:history="1">
        <w:proofErr w:type="spellStart"/>
        <w:r w:rsidRPr="003E1912">
          <w:rPr>
            <w:rStyle w:val="Hyperlink"/>
            <w:rFonts w:ascii="Century" w:hAnsi="Century" w:cs="Times New Roman"/>
            <w:b/>
            <w:sz w:val="24"/>
            <w:szCs w:val="24"/>
            <w:u w:val="none"/>
          </w:rPr>
          <w:t>VTrans</w:t>
        </w:r>
        <w:proofErr w:type="spellEnd"/>
        <w:r w:rsidRPr="003E1912">
          <w:rPr>
            <w:rStyle w:val="Hyperlink"/>
            <w:rFonts w:ascii="Century" w:hAnsi="Century" w:cs="Times New Roman"/>
            <w:b/>
            <w:sz w:val="24"/>
            <w:szCs w:val="24"/>
            <w:u w:val="none"/>
          </w:rPr>
          <w:t xml:space="preserve">’ </w:t>
        </w:r>
        <w:r w:rsidRPr="003E1912">
          <w:rPr>
            <w:rStyle w:val="Hyperlink"/>
            <w:rFonts w:ascii="Century" w:hAnsi="Century" w:cs="Times New Roman"/>
            <w:b/>
            <w:i/>
            <w:sz w:val="24"/>
            <w:szCs w:val="24"/>
            <w:u w:val="none"/>
          </w:rPr>
          <w:t>Materials Sampling Manual</w:t>
        </w:r>
        <w:r w:rsidRPr="003E1912">
          <w:rPr>
            <w:rStyle w:val="Hyperlink"/>
            <w:rFonts w:ascii="Century" w:hAnsi="Century" w:cs="Times New Roman"/>
            <w:b/>
            <w:sz w:val="24"/>
            <w:szCs w:val="24"/>
            <w:u w:val="none"/>
          </w:rPr>
          <w:t>.</w:t>
        </w:r>
      </w:hyperlink>
    </w:p>
    <w:p w14:paraId="4AB710D9" w14:textId="77777777" w:rsidR="000C3957" w:rsidRPr="00EE25A3" w:rsidRDefault="000C3957" w:rsidP="000C3957">
      <w:pPr>
        <w:pStyle w:val="ListParagraph"/>
        <w:ind w:left="1080"/>
        <w:rPr>
          <w:rFonts w:ascii="Times New Roman" w:hAnsi="Times New Roman" w:cs="Times New Roman"/>
          <w:sz w:val="24"/>
          <w:szCs w:val="24"/>
        </w:rPr>
      </w:pPr>
    </w:p>
    <w:p w14:paraId="2E82C109" w14:textId="77777777" w:rsidR="000C3957" w:rsidRPr="00EE25A3" w:rsidRDefault="005E6D58" w:rsidP="005E6D58">
      <w:pPr>
        <w:pStyle w:val="ListParagraph"/>
        <w:numPr>
          <w:ilvl w:val="0"/>
          <w:numId w:val="1"/>
        </w:numPr>
        <w:rPr>
          <w:rFonts w:ascii="Century" w:hAnsi="Century" w:cs="Angsana New"/>
          <w:sz w:val="24"/>
          <w:szCs w:val="24"/>
        </w:rPr>
      </w:pPr>
      <w:r w:rsidRPr="00EE25A3">
        <w:rPr>
          <w:rFonts w:ascii="Century" w:hAnsi="Century" w:cs="Angsana New"/>
          <w:sz w:val="24"/>
          <w:szCs w:val="24"/>
        </w:rPr>
        <w:t xml:space="preserve">Acceptance sampling and testing shall be conducted in accordance with </w:t>
      </w:r>
      <w:proofErr w:type="spellStart"/>
      <w:r w:rsidRPr="00EE25A3">
        <w:rPr>
          <w:rFonts w:ascii="Century" w:hAnsi="Century" w:cs="Angsana New"/>
          <w:sz w:val="24"/>
          <w:szCs w:val="24"/>
        </w:rPr>
        <w:t>VTrans</w:t>
      </w:r>
      <w:proofErr w:type="spellEnd"/>
      <w:r w:rsidRPr="00EE25A3">
        <w:rPr>
          <w:rFonts w:ascii="Century" w:hAnsi="Century" w:cs="Angsana New"/>
          <w:sz w:val="24"/>
          <w:szCs w:val="24"/>
        </w:rPr>
        <w:t xml:space="preserve">’ </w:t>
      </w:r>
    </w:p>
    <w:p w14:paraId="0E2B3A32" w14:textId="753BA123" w:rsidR="005E6D58" w:rsidRPr="003E1912" w:rsidRDefault="000408A0" w:rsidP="000C3957">
      <w:pPr>
        <w:pStyle w:val="ListParagraph"/>
        <w:ind w:left="1080"/>
        <w:rPr>
          <w:rFonts w:ascii="Century" w:hAnsi="Century" w:cs="Angsana New"/>
          <w:b/>
          <w:sz w:val="24"/>
          <w:szCs w:val="24"/>
        </w:rPr>
      </w:pPr>
      <w:hyperlink r:id="rId6" w:history="1">
        <w:r w:rsidR="005E6D58" w:rsidRPr="003E1912">
          <w:rPr>
            <w:rStyle w:val="Hyperlink"/>
            <w:rFonts w:ascii="Century" w:hAnsi="Century" w:cs="Angsana New"/>
            <w:b/>
            <w:i/>
            <w:sz w:val="24"/>
            <w:szCs w:val="24"/>
            <w:u w:val="none"/>
          </w:rPr>
          <w:t>Quality Assurance Program</w:t>
        </w:r>
        <w:r w:rsidR="005E6D58" w:rsidRPr="003E1912">
          <w:rPr>
            <w:rStyle w:val="Hyperlink"/>
            <w:rFonts w:ascii="Century" w:hAnsi="Century" w:cs="Angsana New"/>
            <w:b/>
            <w:sz w:val="24"/>
            <w:szCs w:val="24"/>
            <w:u w:val="none"/>
          </w:rPr>
          <w:t xml:space="preserve"> (QAP).</w:t>
        </w:r>
      </w:hyperlink>
    </w:p>
    <w:p w14:paraId="798E3238" w14:textId="77777777" w:rsidR="000C3957" w:rsidRPr="00EE25A3" w:rsidRDefault="000C3957" w:rsidP="000C3957">
      <w:pPr>
        <w:pStyle w:val="ListParagraph"/>
        <w:ind w:left="1080"/>
        <w:rPr>
          <w:rFonts w:ascii="Century" w:hAnsi="Century" w:cs="Angsana New"/>
          <w:sz w:val="24"/>
          <w:szCs w:val="24"/>
        </w:rPr>
      </w:pPr>
    </w:p>
    <w:p w14:paraId="0EE723C1" w14:textId="0035F7D6" w:rsidR="005E6D58" w:rsidRPr="00EE25A3" w:rsidRDefault="005E6D58" w:rsidP="005E6D58">
      <w:pPr>
        <w:pStyle w:val="ListParagraph"/>
        <w:numPr>
          <w:ilvl w:val="0"/>
          <w:numId w:val="1"/>
        </w:numPr>
        <w:rPr>
          <w:rFonts w:ascii="Century" w:hAnsi="Century" w:cs="Angsana New"/>
          <w:sz w:val="24"/>
          <w:szCs w:val="24"/>
        </w:rPr>
      </w:pPr>
      <w:r w:rsidRPr="00EE25A3">
        <w:rPr>
          <w:rFonts w:ascii="Century" w:hAnsi="Century" w:cs="Angsana New"/>
          <w:sz w:val="24"/>
          <w:szCs w:val="24"/>
        </w:rPr>
        <w:t>If the Resident Engineer accepts a material that fails a test, does not meet testing requirements, or was not tested at all, the Resident Engineer should provide an explanation for the justification of why the material was accepted.</w:t>
      </w:r>
    </w:p>
    <w:p w14:paraId="5F22956A" w14:textId="77777777" w:rsidR="00BF74AA" w:rsidRPr="00EE25A3" w:rsidRDefault="00BF74AA" w:rsidP="00BF74AA">
      <w:pPr>
        <w:pStyle w:val="ListParagraph"/>
        <w:ind w:left="1080"/>
        <w:rPr>
          <w:rFonts w:ascii="Century" w:hAnsi="Century" w:cs="Angsana New"/>
          <w:sz w:val="24"/>
          <w:szCs w:val="24"/>
        </w:rPr>
      </w:pPr>
      <w:r w:rsidRPr="00EE25A3">
        <w:rPr>
          <w:rFonts w:ascii="Century" w:hAnsi="Century" w:cs="Angsana New"/>
          <w:sz w:val="24"/>
          <w:szCs w:val="24"/>
        </w:rPr>
        <w:t>For failed tests, this explanation should indicate the following:</w:t>
      </w:r>
    </w:p>
    <w:p w14:paraId="4CCAE92F" w14:textId="77777777" w:rsidR="00BF74AA" w:rsidRPr="00EE25A3" w:rsidRDefault="00BF74AA" w:rsidP="00BF74AA">
      <w:pPr>
        <w:pStyle w:val="ListParagraph"/>
        <w:ind w:left="1080"/>
        <w:rPr>
          <w:rFonts w:ascii="Century" w:hAnsi="Century" w:cs="Angsana New"/>
          <w:sz w:val="24"/>
          <w:szCs w:val="24"/>
        </w:rPr>
      </w:pPr>
      <w:r w:rsidRPr="00EE25A3">
        <w:rPr>
          <w:rFonts w:ascii="Century" w:hAnsi="Century" w:cs="Angsana New"/>
          <w:sz w:val="24"/>
          <w:szCs w:val="24"/>
        </w:rPr>
        <w:t>• How the material failed</w:t>
      </w:r>
    </w:p>
    <w:p w14:paraId="1F609C93" w14:textId="77777777" w:rsidR="00BF74AA" w:rsidRPr="00EE25A3" w:rsidRDefault="00BF74AA" w:rsidP="00BF74AA">
      <w:pPr>
        <w:pStyle w:val="ListParagraph"/>
        <w:ind w:left="1080"/>
        <w:rPr>
          <w:rFonts w:ascii="Century" w:hAnsi="Century" w:cs="Angsana New"/>
          <w:sz w:val="24"/>
          <w:szCs w:val="24"/>
        </w:rPr>
      </w:pPr>
      <w:r w:rsidRPr="00EE25A3">
        <w:rPr>
          <w:rFonts w:ascii="Century" w:hAnsi="Century" w:cs="Angsana New"/>
          <w:sz w:val="24"/>
          <w:szCs w:val="24"/>
        </w:rPr>
        <w:t>• The quantity of the test material represented</w:t>
      </w:r>
    </w:p>
    <w:p w14:paraId="5863677A" w14:textId="77777777" w:rsidR="00BF74AA" w:rsidRPr="00EE25A3" w:rsidRDefault="00BF74AA" w:rsidP="00BF74AA">
      <w:pPr>
        <w:pStyle w:val="ListParagraph"/>
        <w:ind w:left="1080"/>
        <w:rPr>
          <w:rFonts w:ascii="Century" w:hAnsi="Century" w:cs="Angsana New"/>
          <w:sz w:val="24"/>
          <w:szCs w:val="24"/>
        </w:rPr>
      </w:pPr>
      <w:r w:rsidRPr="00EE25A3">
        <w:rPr>
          <w:rFonts w:ascii="Century" w:hAnsi="Century" w:cs="Angsana New"/>
          <w:sz w:val="24"/>
          <w:szCs w:val="24"/>
        </w:rPr>
        <w:t>• The planned quantity of the material</w:t>
      </w:r>
    </w:p>
    <w:p w14:paraId="37E6BFA9" w14:textId="2BF635A9" w:rsidR="00BF74AA" w:rsidRPr="00EE25A3" w:rsidRDefault="00BF74AA" w:rsidP="000C3957">
      <w:pPr>
        <w:pStyle w:val="ListParagraph"/>
        <w:tabs>
          <w:tab w:val="left" w:pos="9360"/>
        </w:tabs>
        <w:ind w:left="1080"/>
        <w:rPr>
          <w:rFonts w:ascii="Century" w:hAnsi="Century" w:cs="Angsana New"/>
          <w:sz w:val="24"/>
          <w:szCs w:val="24"/>
        </w:rPr>
      </w:pPr>
      <w:r w:rsidRPr="00EE25A3">
        <w:rPr>
          <w:rFonts w:ascii="Century" w:hAnsi="Century" w:cs="Angsana New"/>
          <w:sz w:val="24"/>
          <w:szCs w:val="24"/>
        </w:rPr>
        <w:t>• The magnitude of the material failure (for example, 4% high passing the #200 sieve)</w:t>
      </w:r>
    </w:p>
    <w:p w14:paraId="2A5387B2" w14:textId="77777777" w:rsidR="00BF74AA" w:rsidRPr="00EE25A3" w:rsidRDefault="00BF74AA" w:rsidP="00BF74AA">
      <w:pPr>
        <w:pStyle w:val="ListParagraph"/>
        <w:ind w:left="1080"/>
        <w:rPr>
          <w:rFonts w:ascii="Century" w:hAnsi="Century" w:cs="Angsana New"/>
          <w:sz w:val="24"/>
          <w:szCs w:val="24"/>
        </w:rPr>
      </w:pPr>
      <w:r w:rsidRPr="00EE25A3">
        <w:rPr>
          <w:rFonts w:ascii="Century" w:hAnsi="Century" w:cs="Angsana New"/>
          <w:sz w:val="24"/>
          <w:szCs w:val="24"/>
        </w:rPr>
        <w:t>• Why the material was accepted</w:t>
      </w:r>
    </w:p>
    <w:p w14:paraId="3171732E" w14:textId="5F298674" w:rsidR="00BF74AA" w:rsidRPr="00EE25A3" w:rsidRDefault="00BF74AA" w:rsidP="00BF74AA">
      <w:pPr>
        <w:pStyle w:val="ListParagraph"/>
        <w:ind w:left="1080"/>
        <w:rPr>
          <w:rFonts w:ascii="Century" w:hAnsi="Century" w:cs="Angsana New"/>
          <w:sz w:val="24"/>
          <w:szCs w:val="24"/>
        </w:rPr>
      </w:pPr>
      <w:r w:rsidRPr="00EE25A3">
        <w:rPr>
          <w:rFonts w:ascii="Century" w:hAnsi="Century" w:cs="Angsana New"/>
          <w:sz w:val="24"/>
          <w:szCs w:val="24"/>
        </w:rPr>
        <w:t>• If any corrective action was taken, if appropriate</w:t>
      </w:r>
    </w:p>
    <w:p w14:paraId="5717F092" w14:textId="77777777" w:rsidR="000C3957" w:rsidRPr="00EE25A3" w:rsidRDefault="000C3957" w:rsidP="00BF74AA">
      <w:pPr>
        <w:pStyle w:val="ListParagraph"/>
        <w:ind w:left="1080"/>
        <w:rPr>
          <w:rFonts w:ascii="Century" w:hAnsi="Century" w:cs="Angsana New"/>
          <w:sz w:val="24"/>
          <w:szCs w:val="24"/>
        </w:rPr>
      </w:pPr>
    </w:p>
    <w:p w14:paraId="19DDA075" w14:textId="0BA8EDC4" w:rsidR="000C3957" w:rsidRPr="00BB6F7A" w:rsidRDefault="000C3957" w:rsidP="000C3957">
      <w:pPr>
        <w:pStyle w:val="ListParagraph"/>
        <w:numPr>
          <w:ilvl w:val="0"/>
          <w:numId w:val="1"/>
        </w:numPr>
        <w:rPr>
          <w:rFonts w:ascii="Century" w:hAnsi="Century" w:cs="Angsana New"/>
          <w:b/>
          <w:sz w:val="24"/>
          <w:szCs w:val="24"/>
        </w:rPr>
      </w:pPr>
      <w:r w:rsidRPr="00EE25A3">
        <w:rPr>
          <w:rFonts w:ascii="Century" w:hAnsi="Century" w:cs="Angsana New"/>
          <w:b/>
          <w:sz w:val="24"/>
          <w:szCs w:val="24"/>
        </w:rPr>
        <w:t xml:space="preserve">Increase in Certified </w:t>
      </w:r>
      <w:r w:rsidRPr="0056740D">
        <w:rPr>
          <w:rFonts w:ascii="Century" w:hAnsi="Century" w:cs="Angsana New"/>
          <w:b/>
          <w:sz w:val="24"/>
          <w:szCs w:val="24"/>
        </w:rPr>
        <w:t>Quantity</w:t>
      </w:r>
      <w:r w:rsidR="00BF334C" w:rsidRPr="0056740D">
        <w:rPr>
          <w:rFonts w:ascii="Century" w:hAnsi="Century" w:cs="Angsana New"/>
          <w:b/>
          <w:sz w:val="24"/>
          <w:szCs w:val="24"/>
        </w:rPr>
        <w:t xml:space="preserve"> </w:t>
      </w:r>
      <w:hyperlink r:id="rId7" w:history="1">
        <w:r w:rsidR="00BF334C" w:rsidRPr="00BB6F7A">
          <w:rPr>
            <w:rStyle w:val="Hyperlink"/>
            <w:rFonts w:ascii="Century" w:hAnsi="Century" w:cs="Angsana New"/>
            <w:b/>
            <w:sz w:val="24"/>
            <w:szCs w:val="24"/>
            <w:u w:val="none"/>
          </w:rPr>
          <w:t>(</w:t>
        </w:r>
        <w:r w:rsidR="0056740D" w:rsidRPr="00BB6F7A">
          <w:rPr>
            <w:rStyle w:val="Hyperlink"/>
            <w:rFonts w:ascii="Century" w:hAnsi="Century" w:cs="Angsana New"/>
            <w:b/>
            <w:sz w:val="24"/>
            <w:szCs w:val="24"/>
            <w:u w:val="none"/>
          </w:rPr>
          <w:t>Procedure</w:t>
        </w:r>
        <w:r w:rsidR="00BF334C" w:rsidRPr="00BB6F7A">
          <w:rPr>
            <w:rStyle w:val="Hyperlink"/>
            <w:rFonts w:ascii="Century" w:hAnsi="Century" w:cs="Angsana New"/>
            <w:b/>
            <w:sz w:val="24"/>
            <w:szCs w:val="24"/>
            <w:u w:val="none"/>
          </w:rPr>
          <w:t>)</w:t>
        </w:r>
      </w:hyperlink>
      <w:r w:rsidR="00BB6F7A" w:rsidRPr="00BB6F7A">
        <w:rPr>
          <w:rFonts w:ascii="Century" w:hAnsi="Century" w:cs="Angsana New"/>
          <w:b/>
          <w:sz w:val="24"/>
          <w:szCs w:val="24"/>
        </w:rPr>
        <w:t>:</w:t>
      </w:r>
    </w:p>
    <w:p w14:paraId="31A6F230" w14:textId="1CA4F4B5" w:rsidR="000C3957" w:rsidRPr="00EE25A3" w:rsidRDefault="000C3957" w:rsidP="000C3957">
      <w:pPr>
        <w:pStyle w:val="ListParagraph"/>
        <w:ind w:left="1080"/>
        <w:rPr>
          <w:rFonts w:ascii="Century" w:hAnsi="Century" w:cs="Angsana New"/>
          <w:sz w:val="24"/>
          <w:szCs w:val="24"/>
        </w:rPr>
      </w:pPr>
      <w:r w:rsidRPr="00EE25A3">
        <w:rPr>
          <w:rFonts w:ascii="Century" w:hAnsi="Century" w:cs="Angsana New"/>
          <w:sz w:val="24"/>
          <w:szCs w:val="24"/>
        </w:rPr>
        <w:t>The Resident Engineer may extend the quantity of the</w:t>
      </w:r>
      <w:r w:rsidR="00EE25A3" w:rsidRPr="00EE25A3">
        <w:rPr>
          <w:rFonts w:ascii="Century" w:hAnsi="Century" w:cs="Angsana New"/>
          <w:sz w:val="24"/>
          <w:szCs w:val="24"/>
        </w:rPr>
        <w:t xml:space="preserve"> </w:t>
      </w:r>
      <w:r w:rsidRPr="00EE25A3">
        <w:rPr>
          <w:rFonts w:ascii="Century" w:hAnsi="Century" w:cs="Angsana New"/>
          <w:sz w:val="24"/>
          <w:szCs w:val="24"/>
        </w:rPr>
        <w:t>certification to match the installed quantity in the case of an installed material quantity</w:t>
      </w:r>
      <w:r w:rsidR="00EE25A3" w:rsidRPr="00EE25A3">
        <w:rPr>
          <w:rFonts w:ascii="Century" w:hAnsi="Century" w:cs="Angsana New"/>
          <w:sz w:val="24"/>
          <w:szCs w:val="24"/>
        </w:rPr>
        <w:t xml:space="preserve"> </w:t>
      </w:r>
      <w:r w:rsidRPr="00EE25A3">
        <w:rPr>
          <w:rFonts w:ascii="Century" w:hAnsi="Century" w:cs="Angsana New"/>
          <w:sz w:val="24"/>
          <w:szCs w:val="24"/>
        </w:rPr>
        <w:t>exceeding the certified quantity by an amount not to exceed 20% and with the extra</w:t>
      </w:r>
      <w:r w:rsidR="00EE25A3" w:rsidRPr="00EE25A3">
        <w:rPr>
          <w:rFonts w:ascii="Century" w:hAnsi="Century" w:cs="Angsana New"/>
          <w:sz w:val="24"/>
          <w:szCs w:val="24"/>
        </w:rPr>
        <w:t xml:space="preserve"> </w:t>
      </w:r>
      <w:r w:rsidRPr="00EE25A3">
        <w:rPr>
          <w:rFonts w:ascii="Century" w:hAnsi="Century" w:cs="Angsana New"/>
          <w:sz w:val="24"/>
          <w:szCs w:val="24"/>
        </w:rPr>
        <w:t>material coming from the same manufacturer and of the same type, lot, batch, or heat</w:t>
      </w:r>
      <w:r w:rsidR="00EE25A3" w:rsidRPr="00EE25A3">
        <w:rPr>
          <w:rFonts w:ascii="Century" w:hAnsi="Century" w:cs="Angsana New"/>
          <w:sz w:val="24"/>
          <w:szCs w:val="24"/>
        </w:rPr>
        <w:t xml:space="preserve"> </w:t>
      </w:r>
      <w:r w:rsidRPr="00EE25A3">
        <w:rPr>
          <w:rFonts w:ascii="Century" w:hAnsi="Century" w:cs="Angsana New"/>
          <w:sz w:val="24"/>
          <w:szCs w:val="24"/>
        </w:rPr>
        <w:t>number. To extend the certified amount of an item, the Resident Engineer shall verify</w:t>
      </w:r>
      <w:r w:rsidR="00EE25A3" w:rsidRPr="00EE25A3">
        <w:rPr>
          <w:rFonts w:ascii="Century" w:hAnsi="Century" w:cs="Angsana New"/>
          <w:sz w:val="24"/>
          <w:szCs w:val="24"/>
        </w:rPr>
        <w:t xml:space="preserve"> </w:t>
      </w:r>
      <w:r w:rsidRPr="00EE25A3">
        <w:rPr>
          <w:rFonts w:ascii="Century" w:hAnsi="Century" w:cs="Angsana New"/>
          <w:sz w:val="24"/>
          <w:szCs w:val="24"/>
        </w:rPr>
        <w:t>that the additional material being incorporated in the project is from the same</w:t>
      </w:r>
      <w:r w:rsidR="00EE25A3" w:rsidRPr="00EE25A3">
        <w:rPr>
          <w:rFonts w:ascii="Century" w:hAnsi="Century" w:cs="Angsana New"/>
          <w:sz w:val="24"/>
          <w:szCs w:val="24"/>
        </w:rPr>
        <w:t xml:space="preserve"> </w:t>
      </w:r>
      <w:r w:rsidRPr="00EE25A3">
        <w:rPr>
          <w:rFonts w:ascii="Century" w:hAnsi="Century" w:cs="Angsana New"/>
          <w:sz w:val="24"/>
          <w:szCs w:val="24"/>
        </w:rPr>
        <w:t>manufacturer and is of the same type, lot, batch, or heat number as the original</w:t>
      </w:r>
      <w:r w:rsidR="00EE25A3" w:rsidRPr="00EE25A3">
        <w:rPr>
          <w:rFonts w:ascii="Century" w:hAnsi="Century" w:cs="Angsana New"/>
          <w:sz w:val="24"/>
          <w:szCs w:val="24"/>
        </w:rPr>
        <w:t xml:space="preserve"> </w:t>
      </w:r>
      <w:r w:rsidRPr="00EE25A3">
        <w:rPr>
          <w:rFonts w:ascii="Century" w:hAnsi="Century" w:cs="Angsana New"/>
          <w:sz w:val="24"/>
          <w:szCs w:val="24"/>
        </w:rPr>
        <w:t xml:space="preserve">certification. The Resident Engineer will then complete the </w:t>
      </w:r>
      <w:hyperlink r:id="rId8" w:history="1">
        <w:r w:rsidRPr="00A37B89">
          <w:rPr>
            <w:rStyle w:val="Hyperlink"/>
            <w:rFonts w:ascii="Century" w:hAnsi="Century" w:cs="Angsana New"/>
            <w:b/>
            <w:i/>
            <w:sz w:val="24"/>
            <w:szCs w:val="24"/>
            <w:u w:val="none"/>
          </w:rPr>
          <w:t>TA-555</w:t>
        </w:r>
        <w:r w:rsidRPr="00A37B89">
          <w:rPr>
            <w:rStyle w:val="Hyperlink"/>
            <w:rFonts w:ascii="Century" w:hAnsi="Century" w:cs="Angsana New"/>
            <w:sz w:val="24"/>
            <w:szCs w:val="24"/>
            <w:u w:val="none"/>
          </w:rPr>
          <w:t xml:space="preserve"> </w:t>
        </w:r>
        <w:r w:rsidR="00E336FB" w:rsidRPr="00A37B89">
          <w:rPr>
            <w:rStyle w:val="Hyperlink"/>
            <w:rFonts w:ascii="Century" w:hAnsi="Century" w:cs="Angsana New"/>
            <w:sz w:val="24"/>
            <w:szCs w:val="24"/>
            <w:u w:val="none"/>
          </w:rPr>
          <w:t xml:space="preserve"> </w:t>
        </w:r>
        <w:r w:rsidRPr="00A37B89">
          <w:rPr>
            <w:rStyle w:val="Hyperlink"/>
            <w:rFonts w:ascii="Century" w:hAnsi="Century" w:cs="Angsana New"/>
            <w:b/>
            <w:i/>
            <w:sz w:val="24"/>
            <w:szCs w:val="24"/>
            <w:u w:val="none"/>
          </w:rPr>
          <w:t>Increase in Certified</w:t>
        </w:r>
        <w:r w:rsidR="00EE25A3" w:rsidRPr="00A37B89">
          <w:rPr>
            <w:rStyle w:val="Hyperlink"/>
            <w:rFonts w:ascii="Century" w:hAnsi="Century" w:cs="Angsana New"/>
            <w:b/>
            <w:i/>
            <w:sz w:val="24"/>
            <w:szCs w:val="24"/>
            <w:u w:val="none"/>
          </w:rPr>
          <w:t xml:space="preserve"> </w:t>
        </w:r>
        <w:r w:rsidRPr="00A37B89">
          <w:rPr>
            <w:rStyle w:val="Hyperlink"/>
            <w:rFonts w:ascii="Century" w:hAnsi="Century" w:cs="Angsana New"/>
            <w:b/>
            <w:i/>
            <w:sz w:val="24"/>
            <w:szCs w:val="24"/>
            <w:u w:val="none"/>
          </w:rPr>
          <w:t>Q</w:t>
        </w:r>
        <w:r w:rsidR="005C7299" w:rsidRPr="00A37B89">
          <w:rPr>
            <w:rStyle w:val="Hyperlink"/>
            <w:rFonts w:ascii="Century" w:hAnsi="Century" w:cs="Angsana New"/>
            <w:b/>
            <w:i/>
            <w:sz w:val="24"/>
            <w:szCs w:val="24"/>
            <w:u w:val="none"/>
          </w:rPr>
          <w:t>uantity</w:t>
        </w:r>
        <w:r w:rsidR="00E336FB" w:rsidRPr="00A37B89">
          <w:rPr>
            <w:rStyle w:val="Hyperlink"/>
            <w:rFonts w:ascii="Century" w:hAnsi="Century" w:cs="Angsana New"/>
            <w:b/>
            <w:i/>
            <w:sz w:val="24"/>
            <w:szCs w:val="24"/>
            <w:u w:val="none"/>
          </w:rPr>
          <w:t xml:space="preserve"> </w:t>
        </w:r>
        <w:r w:rsidR="005C7299" w:rsidRPr="00A37B89">
          <w:rPr>
            <w:rStyle w:val="Hyperlink"/>
            <w:rFonts w:ascii="Century" w:hAnsi="Century" w:cs="Angsana New"/>
            <w:b/>
            <w:i/>
            <w:sz w:val="24"/>
            <w:szCs w:val="24"/>
            <w:u w:val="none"/>
          </w:rPr>
          <w:t xml:space="preserve"> </w:t>
        </w:r>
        <w:r w:rsidR="005C7299" w:rsidRPr="00A37B89">
          <w:rPr>
            <w:rStyle w:val="Hyperlink"/>
            <w:rFonts w:ascii="Century" w:hAnsi="Century" w:cs="Angsana New"/>
            <w:sz w:val="24"/>
            <w:szCs w:val="24"/>
            <w:u w:val="none"/>
          </w:rPr>
          <w:t>form</w:t>
        </w:r>
      </w:hyperlink>
      <w:r w:rsidR="005C7299" w:rsidRPr="00A37B89">
        <w:rPr>
          <w:rFonts w:ascii="Century" w:hAnsi="Century" w:cs="Angsana New"/>
          <w:sz w:val="24"/>
          <w:szCs w:val="24"/>
        </w:rPr>
        <w:t>.</w:t>
      </w:r>
    </w:p>
    <w:p w14:paraId="7F4B0880" w14:textId="7C9204B7" w:rsidR="000C3957" w:rsidRPr="00EE25A3" w:rsidRDefault="000C3957" w:rsidP="000C3957">
      <w:pPr>
        <w:pStyle w:val="ListParagraph"/>
        <w:ind w:left="1080"/>
        <w:rPr>
          <w:rFonts w:ascii="Century" w:hAnsi="Century" w:cs="Angsana New"/>
          <w:sz w:val="24"/>
          <w:szCs w:val="24"/>
        </w:rPr>
      </w:pPr>
    </w:p>
    <w:p w14:paraId="58CF12CC" w14:textId="2A08A405" w:rsidR="00B31906" w:rsidRPr="00EE25A3" w:rsidRDefault="00B31906" w:rsidP="00B31906">
      <w:pPr>
        <w:pStyle w:val="ListParagraph"/>
        <w:numPr>
          <w:ilvl w:val="0"/>
          <w:numId w:val="1"/>
        </w:numPr>
        <w:rPr>
          <w:rFonts w:ascii="Century" w:hAnsi="Century" w:cs="Angsana New"/>
          <w:sz w:val="24"/>
          <w:szCs w:val="24"/>
        </w:rPr>
      </w:pPr>
      <w:r w:rsidRPr="00EE25A3">
        <w:rPr>
          <w:rFonts w:ascii="Century" w:hAnsi="Century" w:cs="Angsana New"/>
          <w:b/>
          <w:sz w:val="24"/>
          <w:szCs w:val="24"/>
        </w:rPr>
        <w:t>List of Materials with Advanced Certification</w:t>
      </w:r>
      <w:r w:rsidR="00EE25A3" w:rsidRPr="00EE25A3">
        <w:rPr>
          <w:rFonts w:ascii="Century" w:hAnsi="Century" w:cs="Angsana New"/>
          <w:b/>
          <w:sz w:val="24"/>
          <w:szCs w:val="24"/>
        </w:rPr>
        <w:t xml:space="preserve"> </w:t>
      </w:r>
      <w:hyperlink r:id="rId9" w:history="1">
        <w:r w:rsidR="00EE25A3" w:rsidRPr="00A37B89">
          <w:rPr>
            <w:rStyle w:val="Hyperlink"/>
            <w:rFonts w:ascii="Century" w:hAnsi="Century" w:cs="Angsana New"/>
            <w:b/>
            <w:sz w:val="24"/>
            <w:szCs w:val="24"/>
            <w:u w:val="none"/>
          </w:rPr>
          <w:t>(ACL</w:t>
        </w:r>
        <w:r w:rsidR="00BF334C" w:rsidRPr="00A37B89">
          <w:rPr>
            <w:rStyle w:val="Hyperlink"/>
            <w:rFonts w:ascii="Century" w:hAnsi="Century" w:cs="Angsana New"/>
            <w:b/>
            <w:sz w:val="24"/>
            <w:szCs w:val="24"/>
            <w:u w:val="none"/>
          </w:rPr>
          <w:t xml:space="preserve"> </w:t>
        </w:r>
        <w:r w:rsidR="0056740D">
          <w:rPr>
            <w:rStyle w:val="Hyperlink"/>
            <w:rFonts w:ascii="Century" w:hAnsi="Century" w:cs="Angsana New"/>
            <w:b/>
            <w:sz w:val="24"/>
            <w:szCs w:val="24"/>
            <w:u w:val="none"/>
          </w:rPr>
          <w:t>Procedure</w:t>
        </w:r>
        <w:r w:rsidR="00EE25A3" w:rsidRPr="00A37B89">
          <w:rPr>
            <w:rStyle w:val="Hyperlink"/>
            <w:rFonts w:ascii="Century" w:hAnsi="Century" w:cs="Angsana New"/>
            <w:b/>
            <w:sz w:val="24"/>
            <w:szCs w:val="24"/>
            <w:u w:val="none"/>
          </w:rPr>
          <w:t>)</w:t>
        </w:r>
        <w:r w:rsidR="00BF334C" w:rsidRPr="00A37B89">
          <w:rPr>
            <w:rStyle w:val="Hyperlink"/>
            <w:rFonts w:ascii="Century" w:hAnsi="Century" w:cs="Angsana New"/>
            <w:b/>
            <w:sz w:val="24"/>
            <w:szCs w:val="24"/>
            <w:u w:val="none"/>
          </w:rPr>
          <w:t>:</w:t>
        </w:r>
      </w:hyperlink>
      <w:r w:rsidRPr="00EE25A3">
        <w:rPr>
          <w:rFonts w:ascii="Century" w:hAnsi="Century" w:cs="Angsana New"/>
          <w:sz w:val="24"/>
          <w:szCs w:val="24"/>
        </w:rPr>
        <w:t xml:space="preserve"> </w:t>
      </w:r>
    </w:p>
    <w:p w14:paraId="08CBE82E" w14:textId="1500C5D3" w:rsidR="000C3957" w:rsidRPr="00EE25A3" w:rsidRDefault="00B31906" w:rsidP="00B31906">
      <w:pPr>
        <w:pStyle w:val="ListParagraph"/>
        <w:ind w:left="1080"/>
        <w:rPr>
          <w:rFonts w:ascii="Century" w:hAnsi="Century" w:cs="Angsana New"/>
          <w:sz w:val="24"/>
          <w:szCs w:val="24"/>
        </w:rPr>
      </w:pPr>
      <w:r w:rsidRPr="00EE25A3">
        <w:rPr>
          <w:rFonts w:ascii="Century" w:hAnsi="Century" w:cs="Angsana New"/>
          <w:sz w:val="24"/>
          <w:szCs w:val="24"/>
        </w:rPr>
        <w:t>The Materials Section publishes an annual List of Materials with Advanced Certification (</w:t>
      </w:r>
      <w:r w:rsidRPr="00EE25A3">
        <w:rPr>
          <w:rFonts w:ascii="Century" w:hAnsi="Century" w:cs="Angsana New"/>
          <w:i/>
          <w:sz w:val="24"/>
          <w:szCs w:val="24"/>
        </w:rPr>
        <w:t>ACL</w:t>
      </w:r>
      <w:r w:rsidRPr="00EE25A3">
        <w:rPr>
          <w:rFonts w:ascii="Century" w:hAnsi="Century" w:cs="Angsana New"/>
          <w:sz w:val="24"/>
          <w:szCs w:val="24"/>
        </w:rPr>
        <w:t xml:space="preserve">), which contains materials and the manufacturers who have certified that their materials conform to </w:t>
      </w:r>
      <w:proofErr w:type="spellStart"/>
      <w:r w:rsidRPr="00EE25A3">
        <w:rPr>
          <w:rFonts w:ascii="Century" w:hAnsi="Century" w:cs="Angsana New"/>
          <w:sz w:val="24"/>
          <w:szCs w:val="24"/>
        </w:rPr>
        <w:t>VTrans</w:t>
      </w:r>
      <w:proofErr w:type="spellEnd"/>
      <w:r w:rsidRPr="00EE25A3">
        <w:rPr>
          <w:rFonts w:ascii="Century" w:hAnsi="Century" w:cs="Angsana New"/>
          <w:sz w:val="24"/>
          <w:szCs w:val="24"/>
        </w:rPr>
        <w:t>’ specifications. If a Contractor obtains material from such an approved source, the Resident Engineer will complete the</w:t>
      </w:r>
      <w:r w:rsidRPr="00A37B89">
        <w:rPr>
          <w:rFonts w:ascii="Century" w:hAnsi="Century" w:cs="Angsana New"/>
          <w:sz w:val="24"/>
          <w:szCs w:val="24"/>
        </w:rPr>
        <w:t xml:space="preserve"> </w:t>
      </w:r>
      <w:hyperlink r:id="rId10" w:history="1">
        <w:r w:rsidRPr="00A37B89">
          <w:rPr>
            <w:rStyle w:val="Hyperlink"/>
            <w:rFonts w:ascii="Century" w:hAnsi="Century" w:cs="Angsana New"/>
            <w:b/>
            <w:i/>
            <w:sz w:val="24"/>
            <w:szCs w:val="24"/>
            <w:u w:val="none"/>
          </w:rPr>
          <w:t>TA-555 Materials with Advance Certification</w:t>
        </w:r>
        <w:r w:rsidRPr="00A37B89">
          <w:rPr>
            <w:rStyle w:val="Hyperlink"/>
            <w:rFonts w:ascii="Century" w:hAnsi="Century" w:cs="Angsana New"/>
            <w:sz w:val="24"/>
            <w:szCs w:val="24"/>
            <w:u w:val="none"/>
          </w:rPr>
          <w:t xml:space="preserve"> form</w:t>
        </w:r>
      </w:hyperlink>
      <w:r w:rsidRPr="00A37B89">
        <w:rPr>
          <w:rFonts w:ascii="Century" w:hAnsi="Century" w:cs="Angsana New"/>
          <w:sz w:val="24"/>
          <w:szCs w:val="24"/>
        </w:rPr>
        <w:t xml:space="preserve"> in lieu </w:t>
      </w:r>
      <w:r w:rsidRPr="00EE25A3">
        <w:rPr>
          <w:rFonts w:ascii="Century" w:hAnsi="Century" w:cs="Angsana New"/>
          <w:sz w:val="24"/>
          <w:szCs w:val="24"/>
        </w:rPr>
        <w:t>of the Contractor obtaining a certification directly from the manufacturer.</w:t>
      </w:r>
    </w:p>
    <w:p w14:paraId="02F013B3" w14:textId="4F3067CF" w:rsidR="00EE25A3" w:rsidRPr="00EE25A3" w:rsidRDefault="00EE25A3" w:rsidP="00B31906">
      <w:pPr>
        <w:pStyle w:val="ListParagraph"/>
        <w:ind w:left="1080"/>
        <w:rPr>
          <w:rFonts w:ascii="Century" w:hAnsi="Century" w:cs="Angsana New"/>
          <w:sz w:val="24"/>
          <w:szCs w:val="24"/>
        </w:rPr>
      </w:pPr>
    </w:p>
    <w:p w14:paraId="0F0B495F" w14:textId="2508FA09" w:rsidR="00EE25A3" w:rsidRPr="00BF334C" w:rsidRDefault="000408A0" w:rsidP="00EE25A3">
      <w:pPr>
        <w:pStyle w:val="ListParagraph"/>
        <w:numPr>
          <w:ilvl w:val="0"/>
          <w:numId w:val="1"/>
        </w:numPr>
        <w:rPr>
          <w:rFonts w:ascii="Century" w:hAnsi="Century" w:cs="Angsana New"/>
          <w:sz w:val="24"/>
          <w:szCs w:val="24"/>
        </w:rPr>
      </w:pPr>
      <w:hyperlink r:id="rId11" w:history="1">
        <w:r w:rsidR="00EE25A3" w:rsidRPr="000408A0">
          <w:rPr>
            <w:rStyle w:val="Hyperlink"/>
            <w:rFonts w:ascii="Century" w:hAnsi="Century" w:cs="Angsana New"/>
            <w:b/>
            <w:sz w:val="24"/>
            <w:szCs w:val="24"/>
          </w:rPr>
          <w:t>Approved Products Lis</w:t>
        </w:r>
        <w:r w:rsidR="00BF334C" w:rsidRPr="000408A0">
          <w:rPr>
            <w:rStyle w:val="Hyperlink"/>
            <w:rFonts w:ascii="Century" w:hAnsi="Century" w:cs="Angsana New"/>
            <w:b/>
            <w:sz w:val="24"/>
            <w:szCs w:val="24"/>
          </w:rPr>
          <w:t>t</w:t>
        </w:r>
      </w:hyperlink>
      <w:bookmarkStart w:id="0" w:name="_GoBack"/>
      <w:bookmarkEnd w:id="0"/>
      <w:r w:rsidR="00BF334C" w:rsidRPr="00BF334C">
        <w:rPr>
          <w:rFonts w:ascii="Century" w:hAnsi="Century" w:cs="Angsana New"/>
          <w:b/>
          <w:sz w:val="24"/>
          <w:szCs w:val="24"/>
        </w:rPr>
        <w:t xml:space="preserve"> </w:t>
      </w:r>
      <w:hyperlink r:id="rId12" w:history="1">
        <w:r w:rsidR="00EE25A3" w:rsidRPr="00BB6F7A">
          <w:rPr>
            <w:rStyle w:val="Hyperlink"/>
            <w:rFonts w:ascii="Century" w:hAnsi="Century" w:cs="Angsana New"/>
            <w:b/>
            <w:sz w:val="24"/>
            <w:szCs w:val="24"/>
            <w:u w:val="none"/>
          </w:rPr>
          <w:t>(APL</w:t>
        </w:r>
        <w:r w:rsidR="0056740D" w:rsidRPr="00BB6F7A">
          <w:rPr>
            <w:rStyle w:val="Hyperlink"/>
            <w:rFonts w:ascii="Century" w:hAnsi="Century" w:cs="Angsana New"/>
            <w:b/>
            <w:sz w:val="24"/>
            <w:szCs w:val="24"/>
            <w:u w:val="none"/>
          </w:rPr>
          <w:t xml:space="preserve"> Procedure</w:t>
        </w:r>
        <w:r w:rsidR="00EE25A3" w:rsidRPr="00BB6F7A">
          <w:rPr>
            <w:rStyle w:val="Hyperlink"/>
            <w:rFonts w:ascii="Century" w:hAnsi="Century" w:cs="Angsana New"/>
            <w:b/>
            <w:sz w:val="24"/>
            <w:szCs w:val="24"/>
            <w:u w:val="none"/>
          </w:rPr>
          <w:t>):</w:t>
        </w:r>
      </w:hyperlink>
      <w:r w:rsidR="00EE25A3" w:rsidRPr="00BB6F7A">
        <w:rPr>
          <w:rFonts w:ascii="Century" w:hAnsi="Century" w:cs="Angsana New"/>
          <w:sz w:val="24"/>
          <w:szCs w:val="24"/>
        </w:rPr>
        <w:t xml:space="preserve"> </w:t>
      </w:r>
      <w:proofErr w:type="spellStart"/>
      <w:r w:rsidR="00EE25A3" w:rsidRPr="00A37B89">
        <w:rPr>
          <w:rFonts w:ascii="Century" w:hAnsi="Century" w:cs="Angsana New"/>
          <w:sz w:val="24"/>
          <w:szCs w:val="24"/>
        </w:rPr>
        <w:t>VTrans</w:t>
      </w:r>
      <w:proofErr w:type="spellEnd"/>
      <w:r w:rsidR="00EE25A3" w:rsidRPr="00BF334C">
        <w:rPr>
          <w:rFonts w:ascii="Century" w:hAnsi="Century" w:cs="Angsana New"/>
          <w:sz w:val="24"/>
          <w:szCs w:val="24"/>
        </w:rPr>
        <w:t xml:space="preserve"> requires the use of approved products for</w:t>
      </w:r>
      <w:r w:rsidR="00BF334C" w:rsidRPr="00BF334C">
        <w:rPr>
          <w:rFonts w:ascii="Century" w:hAnsi="Century" w:cs="Angsana New"/>
          <w:sz w:val="24"/>
          <w:szCs w:val="24"/>
        </w:rPr>
        <w:t xml:space="preserve"> </w:t>
      </w:r>
      <w:r w:rsidR="00EE25A3" w:rsidRPr="00BF334C">
        <w:rPr>
          <w:rFonts w:ascii="Century" w:hAnsi="Century" w:cs="Angsana New"/>
          <w:sz w:val="24"/>
          <w:szCs w:val="24"/>
        </w:rPr>
        <w:t xml:space="preserve">certain materials and items, and these products may be confused with materials requiring certification. The most important distinction between approved products and materials requiring certification is that the requirement for material certification may not be waived. Materials must appear on the </w:t>
      </w:r>
      <w:proofErr w:type="spellStart"/>
      <w:r w:rsidR="00EE25A3" w:rsidRPr="00BF334C">
        <w:rPr>
          <w:rFonts w:ascii="Century" w:hAnsi="Century" w:cs="Angsana New"/>
          <w:sz w:val="24"/>
          <w:szCs w:val="24"/>
        </w:rPr>
        <w:t>VTrans</w:t>
      </w:r>
      <w:proofErr w:type="spellEnd"/>
      <w:r w:rsidR="00EE25A3" w:rsidRPr="00BF334C">
        <w:rPr>
          <w:rFonts w:ascii="Century" w:hAnsi="Century" w:cs="Angsana New"/>
          <w:sz w:val="24"/>
          <w:szCs w:val="24"/>
        </w:rPr>
        <w:t xml:space="preserve"> Approved Products List (APL), which is also produced on an annual basis. The Resident Engineer will document the use of an approved product by completing the </w:t>
      </w:r>
      <w:hyperlink r:id="rId13" w:history="1">
        <w:r w:rsidR="00EE25A3" w:rsidRPr="0056740D">
          <w:rPr>
            <w:rStyle w:val="Hyperlink"/>
            <w:rFonts w:ascii="Century" w:hAnsi="Century" w:cs="Angsana New"/>
            <w:b/>
            <w:i/>
            <w:sz w:val="24"/>
            <w:szCs w:val="24"/>
            <w:u w:val="none"/>
          </w:rPr>
          <w:t>TA 556 Approved Products List</w:t>
        </w:r>
        <w:r w:rsidR="00EE25A3" w:rsidRPr="0056740D">
          <w:rPr>
            <w:rStyle w:val="Hyperlink"/>
            <w:rFonts w:ascii="Century" w:hAnsi="Century" w:cs="Angsana New"/>
            <w:sz w:val="24"/>
            <w:szCs w:val="24"/>
            <w:u w:val="none"/>
          </w:rPr>
          <w:t xml:space="preserve"> form</w:t>
        </w:r>
      </w:hyperlink>
      <w:r w:rsidR="00EE25A3" w:rsidRPr="0056740D">
        <w:rPr>
          <w:rFonts w:ascii="Century" w:hAnsi="Century" w:cs="Angsana New"/>
          <w:sz w:val="24"/>
          <w:szCs w:val="24"/>
        </w:rPr>
        <w:t>.</w:t>
      </w:r>
    </w:p>
    <w:p w14:paraId="7EADC5E0" w14:textId="754EF796" w:rsidR="0009532A" w:rsidRDefault="0009532A" w:rsidP="0009532A">
      <w:pPr>
        <w:pStyle w:val="ListParagraph"/>
        <w:ind w:left="1080"/>
        <w:rPr>
          <w:rFonts w:ascii="Century" w:hAnsi="Century"/>
          <w:sz w:val="24"/>
          <w:szCs w:val="24"/>
        </w:rPr>
      </w:pPr>
    </w:p>
    <w:p w14:paraId="717D200A" w14:textId="77777777" w:rsidR="0009532A" w:rsidRPr="0009532A" w:rsidRDefault="0009532A" w:rsidP="0009532A">
      <w:pPr>
        <w:pStyle w:val="ListParagraph"/>
        <w:ind w:left="1080"/>
        <w:rPr>
          <w:rFonts w:ascii="Century" w:hAnsi="Century"/>
          <w:sz w:val="24"/>
          <w:szCs w:val="24"/>
        </w:rPr>
      </w:pPr>
    </w:p>
    <w:p w14:paraId="3B1250E9" w14:textId="0CDCC994" w:rsidR="0076333C" w:rsidRDefault="0076333C" w:rsidP="00046604">
      <w:pPr>
        <w:pStyle w:val="ListParagraph"/>
        <w:numPr>
          <w:ilvl w:val="0"/>
          <w:numId w:val="1"/>
        </w:numPr>
        <w:rPr>
          <w:rFonts w:ascii="Century" w:hAnsi="Century"/>
          <w:sz w:val="24"/>
          <w:szCs w:val="24"/>
        </w:rPr>
      </w:pPr>
      <w:r w:rsidRPr="004724CE">
        <w:rPr>
          <w:rFonts w:ascii="Century" w:hAnsi="Century"/>
          <w:b/>
          <w:bCs/>
          <w:sz w:val="24"/>
          <w:szCs w:val="24"/>
        </w:rPr>
        <w:t>Minor Quantity Declaration</w:t>
      </w:r>
      <w:r w:rsidR="004724CE" w:rsidRPr="004724CE">
        <w:rPr>
          <w:rFonts w:ascii="Century" w:hAnsi="Century"/>
          <w:b/>
          <w:bCs/>
          <w:sz w:val="24"/>
          <w:szCs w:val="24"/>
        </w:rPr>
        <w:t xml:space="preserve"> </w:t>
      </w:r>
      <w:hyperlink r:id="rId14" w:history="1">
        <w:r w:rsidR="004724CE" w:rsidRPr="0056740D">
          <w:rPr>
            <w:rStyle w:val="Hyperlink"/>
            <w:rFonts w:ascii="Century" w:hAnsi="Century"/>
            <w:b/>
            <w:bCs/>
            <w:sz w:val="24"/>
            <w:szCs w:val="24"/>
            <w:u w:val="none"/>
          </w:rPr>
          <w:t>(</w:t>
        </w:r>
        <w:r w:rsidR="0056740D">
          <w:rPr>
            <w:rStyle w:val="Hyperlink"/>
            <w:rFonts w:ascii="Century" w:hAnsi="Century"/>
            <w:b/>
            <w:bCs/>
            <w:sz w:val="24"/>
            <w:szCs w:val="24"/>
            <w:u w:val="none"/>
          </w:rPr>
          <w:t xml:space="preserve">Minor Quantity </w:t>
        </w:r>
        <w:r w:rsidR="0056740D" w:rsidRPr="0056740D">
          <w:rPr>
            <w:rStyle w:val="Hyperlink"/>
            <w:rFonts w:ascii="Century" w:hAnsi="Century"/>
            <w:b/>
            <w:bCs/>
            <w:sz w:val="24"/>
            <w:szCs w:val="24"/>
            <w:u w:val="none"/>
          </w:rPr>
          <w:t>Procedure</w:t>
        </w:r>
        <w:r w:rsidR="004724CE" w:rsidRPr="0056740D">
          <w:rPr>
            <w:rStyle w:val="Hyperlink"/>
            <w:rFonts w:ascii="Century" w:hAnsi="Century"/>
            <w:b/>
            <w:bCs/>
            <w:sz w:val="24"/>
            <w:szCs w:val="24"/>
            <w:u w:val="none"/>
          </w:rPr>
          <w:t>)</w:t>
        </w:r>
      </w:hyperlink>
      <w:r w:rsidRPr="0056740D">
        <w:rPr>
          <w:rFonts w:ascii="Century" w:hAnsi="Century"/>
          <w:sz w:val="24"/>
          <w:szCs w:val="24"/>
        </w:rPr>
        <w:t>:</w:t>
      </w:r>
      <w:r w:rsidRPr="004724CE">
        <w:rPr>
          <w:rFonts w:ascii="Century" w:hAnsi="Century"/>
          <w:sz w:val="24"/>
          <w:szCs w:val="24"/>
        </w:rPr>
        <w:t xml:space="preserve"> The </w:t>
      </w:r>
      <w:proofErr w:type="spellStart"/>
      <w:r w:rsidRPr="00073505">
        <w:rPr>
          <w:rFonts w:ascii="Century" w:hAnsi="Century"/>
          <w:i/>
          <w:sz w:val="24"/>
          <w:szCs w:val="24"/>
        </w:rPr>
        <w:t>VTrans</w:t>
      </w:r>
      <w:proofErr w:type="spellEnd"/>
      <w:r w:rsidRPr="00073505">
        <w:rPr>
          <w:rFonts w:ascii="Century" w:hAnsi="Century"/>
          <w:i/>
          <w:sz w:val="24"/>
          <w:szCs w:val="24"/>
        </w:rPr>
        <w:t xml:space="preserve"> Material Sampling Manual</w:t>
      </w:r>
      <w:r w:rsidRPr="004724CE">
        <w:rPr>
          <w:rFonts w:ascii="Century" w:hAnsi="Century"/>
          <w:sz w:val="24"/>
          <w:szCs w:val="24"/>
        </w:rPr>
        <w:t xml:space="preserve"> describes the</w:t>
      </w:r>
      <w:r w:rsidR="004724CE" w:rsidRPr="004724CE">
        <w:rPr>
          <w:rFonts w:ascii="Century" w:hAnsi="Century"/>
          <w:sz w:val="24"/>
          <w:szCs w:val="24"/>
        </w:rPr>
        <w:t xml:space="preserve"> </w:t>
      </w:r>
      <w:r w:rsidRPr="004724CE">
        <w:rPr>
          <w:rFonts w:ascii="Century" w:hAnsi="Century"/>
          <w:sz w:val="24"/>
          <w:szCs w:val="24"/>
        </w:rPr>
        <w:t>allowable basis for the declaration of minor quantities. A minor quantity is defined as</w:t>
      </w:r>
      <w:r w:rsidR="004724CE" w:rsidRPr="004724CE">
        <w:rPr>
          <w:rFonts w:ascii="Century" w:hAnsi="Century"/>
          <w:sz w:val="24"/>
          <w:szCs w:val="24"/>
        </w:rPr>
        <w:t xml:space="preserve"> </w:t>
      </w:r>
      <w:r w:rsidRPr="004724CE">
        <w:rPr>
          <w:rFonts w:ascii="Century" w:hAnsi="Century"/>
          <w:sz w:val="24"/>
          <w:szCs w:val="24"/>
        </w:rPr>
        <w:t>any total quantity, for the whole project, of one material, which is equal to or less than</w:t>
      </w:r>
      <w:r w:rsidR="004724CE" w:rsidRPr="004724CE">
        <w:rPr>
          <w:rFonts w:ascii="Century" w:hAnsi="Century"/>
          <w:sz w:val="24"/>
          <w:szCs w:val="24"/>
        </w:rPr>
        <w:t xml:space="preserve"> </w:t>
      </w:r>
      <w:r w:rsidRPr="004724CE">
        <w:rPr>
          <w:rFonts w:ascii="Century" w:hAnsi="Century"/>
          <w:sz w:val="24"/>
          <w:szCs w:val="24"/>
        </w:rPr>
        <w:t>230 CM (300 CY) for aggregates and 20% of the minimum sampling frequency for</w:t>
      </w:r>
      <w:r w:rsidR="004724CE" w:rsidRPr="004724CE">
        <w:rPr>
          <w:rFonts w:ascii="Century" w:hAnsi="Century"/>
          <w:sz w:val="24"/>
          <w:szCs w:val="24"/>
        </w:rPr>
        <w:t xml:space="preserve"> </w:t>
      </w:r>
      <w:r w:rsidRPr="004724CE">
        <w:rPr>
          <w:rFonts w:ascii="Century" w:hAnsi="Century"/>
          <w:sz w:val="24"/>
          <w:szCs w:val="24"/>
        </w:rPr>
        <w:t>structural concrete and bituminous concrete. Minor quantities of materials may be</w:t>
      </w:r>
      <w:r w:rsidR="004724CE" w:rsidRPr="004724CE">
        <w:rPr>
          <w:rFonts w:ascii="Century" w:hAnsi="Century"/>
          <w:sz w:val="24"/>
          <w:szCs w:val="24"/>
        </w:rPr>
        <w:t xml:space="preserve"> </w:t>
      </w:r>
      <w:r w:rsidRPr="004724CE">
        <w:rPr>
          <w:rFonts w:ascii="Century" w:hAnsi="Century"/>
          <w:sz w:val="24"/>
          <w:szCs w:val="24"/>
        </w:rPr>
        <w:t>accepted without sampling and testing. The acceptance of a minor quantity is the sole</w:t>
      </w:r>
      <w:r w:rsidR="004724CE" w:rsidRPr="004724CE">
        <w:rPr>
          <w:rFonts w:ascii="Century" w:hAnsi="Century"/>
          <w:sz w:val="24"/>
          <w:szCs w:val="24"/>
        </w:rPr>
        <w:t xml:space="preserve"> </w:t>
      </w:r>
      <w:r w:rsidRPr="004724CE">
        <w:rPr>
          <w:rFonts w:ascii="Century" w:hAnsi="Century"/>
          <w:sz w:val="24"/>
          <w:szCs w:val="24"/>
        </w:rPr>
        <w:t>responsibility of the Resident Engineer. Sampling and testing of minor quantities will be</w:t>
      </w:r>
      <w:r w:rsidR="004724CE" w:rsidRPr="004724CE">
        <w:rPr>
          <w:rFonts w:ascii="Century" w:hAnsi="Century"/>
          <w:sz w:val="24"/>
          <w:szCs w:val="24"/>
        </w:rPr>
        <w:t xml:space="preserve"> </w:t>
      </w:r>
      <w:r w:rsidRPr="004724CE">
        <w:rPr>
          <w:rFonts w:ascii="Century" w:hAnsi="Century"/>
          <w:sz w:val="24"/>
          <w:szCs w:val="24"/>
        </w:rPr>
        <w:t>determined on a project-by-project basis.</w:t>
      </w:r>
      <w:r w:rsidR="00046604" w:rsidRPr="004724CE">
        <w:rPr>
          <w:rFonts w:ascii="Century" w:hAnsi="Century"/>
          <w:sz w:val="24"/>
          <w:szCs w:val="24"/>
        </w:rPr>
        <w:t xml:space="preserve"> Materials that meet the criteria for minor quantities should be from reliable sources, perform satisfactorily, and meet the requirements for the intended purpose. This will be documented </w:t>
      </w:r>
      <w:r w:rsidR="00046604" w:rsidRPr="00A37B89">
        <w:rPr>
          <w:rFonts w:ascii="Century" w:hAnsi="Century"/>
          <w:sz w:val="24"/>
          <w:szCs w:val="24"/>
        </w:rPr>
        <w:t xml:space="preserve">by the Resident Engineer using the </w:t>
      </w:r>
      <w:hyperlink r:id="rId15" w:history="1">
        <w:r w:rsidR="00046604" w:rsidRPr="00A37B89">
          <w:rPr>
            <w:rStyle w:val="Hyperlink"/>
            <w:rFonts w:ascii="Century" w:hAnsi="Century"/>
            <w:b/>
            <w:i/>
            <w:sz w:val="24"/>
            <w:szCs w:val="24"/>
            <w:u w:val="none"/>
          </w:rPr>
          <w:t>TA 557 Minor Quantity Declaration</w:t>
        </w:r>
        <w:r w:rsidR="00046604" w:rsidRPr="00A37B89">
          <w:rPr>
            <w:rStyle w:val="Hyperlink"/>
            <w:rFonts w:ascii="Century" w:hAnsi="Century"/>
            <w:sz w:val="24"/>
            <w:szCs w:val="24"/>
            <w:u w:val="none"/>
          </w:rPr>
          <w:t xml:space="preserve"> form</w:t>
        </w:r>
      </w:hyperlink>
      <w:r w:rsidR="00046604" w:rsidRPr="004724CE">
        <w:rPr>
          <w:rFonts w:ascii="Century" w:hAnsi="Century"/>
          <w:sz w:val="24"/>
          <w:szCs w:val="24"/>
        </w:rPr>
        <w:t>.</w:t>
      </w:r>
    </w:p>
    <w:p w14:paraId="774EC349" w14:textId="77777777" w:rsidR="004724CE" w:rsidRDefault="004724CE" w:rsidP="004724CE">
      <w:pPr>
        <w:pStyle w:val="ListParagraph"/>
        <w:ind w:left="1080"/>
        <w:rPr>
          <w:rFonts w:ascii="Century" w:hAnsi="Century"/>
          <w:sz w:val="24"/>
          <w:szCs w:val="24"/>
        </w:rPr>
      </w:pPr>
    </w:p>
    <w:p w14:paraId="3D19D2A7" w14:textId="6005F057" w:rsidR="004724CE" w:rsidRPr="0056740D" w:rsidRDefault="004724CE" w:rsidP="004724CE">
      <w:pPr>
        <w:pStyle w:val="ListParagraph"/>
        <w:numPr>
          <w:ilvl w:val="0"/>
          <w:numId w:val="1"/>
        </w:numPr>
        <w:rPr>
          <w:rFonts w:ascii="Century" w:hAnsi="Century"/>
          <w:b/>
          <w:sz w:val="24"/>
          <w:szCs w:val="24"/>
        </w:rPr>
      </w:pPr>
      <w:r w:rsidRPr="004724CE">
        <w:rPr>
          <w:rFonts w:ascii="Century" w:hAnsi="Century"/>
          <w:b/>
          <w:sz w:val="24"/>
          <w:szCs w:val="24"/>
        </w:rPr>
        <w:t xml:space="preserve">Waive Small </w:t>
      </w:r>
      <w:r w:rsidRPr="00A37B89">
        <w:rPr>
          <w:rFonts w:ascii="Century" w:hAnsi="Century"/>
          <w:b/>
          <w:sz w:val="24"/>
          <w:szCs w:val="24"/>
        </w:rPr>
        <w:t xml:space="preserve">Quantity </w:t>
      </w:r>
      <w:hyperlink r:id="rId16" w:history="1">
        <w:r w:rsidR="00A37B89" w:rsidRPr="00BB6F7A">
          <w:rPr>
            <w:rStyle w:val="Hyperlink"/>
            <w:rFonts w:ascii="Century" w:hAnsi="Century"/>
            <w:b/>
            <w:sz w:val="24"/>
            <w:szCs w:val="24"/>
            <w:u w:val="none"/>
          </w:rPr>
          <w:t>(</w:t>
        </w:r>
        <w:r w:rsidR="00BB6F7A" w:rsidRPr="00BB6F7A">
          <w:rPr>
            <w:rStyle w:val="Hyperlink"/>
            <w:rFonts w:ascii="Century" w:hAnsi="Century"/>
            <w:b/>
            <w:sz w:val="24"/>
            <w:szCs w:val="24"/>
            <w:u w:val="none"/>
          </w:rPr>
          <w:t>Small Quantity Procedure</w:t>
        </w:r>
        <w:r w:rsidR="00A37B89" w:rsidRPr="00BB6F7A">
          <w:rPr>
            <w:rStyle w:val="Hyperlink"/>
            <w:rFonts w:ascii="Century" w:hAnsi="Century"/>
            <w:b/>
            <w:sz w:val="24"/>
            <w:szCs w:val="24"/>
            <w:u w:val="none"/>
          </w:rPr>
          <w:t>)</w:t>
        </w:r>
      </w:hyperlink>
      <w:r w:rsidRPr="00BB6F7A">
        <w:rPr>
          <w:rFonts w:ascii="Century" w:hAnsi="Century"/>
          <w:b/>
          <w:sz w:val="24"/>
          <w:szCs w:val="24"/>
        </w:rPr>
        <w:t>:</w:t>
      </w:r>
      <w:r w:rsidRPr="00BB6F7A">
        <w:rPr>
          <w:rFonts w:ascii="Century" w:hAnsi="Century"/>
          <w:sz w:val="24"/>
          <w:szCs w:val="24"/>
        </w:rPr>
        <w:t xml:space="preserve"> </w:t>
      </w:r>
      <w:r w:rsidRPr="004724CE">
        <w:rPr>
          <w:rFonts w:ascii="Century" w:hAnsi="Century"/>
          <w:sz w:val="24"/>
          <w:szCs w:val="24"/>
        </w:rPr>
        <w:t xml:space="preserve">The </w:t>
      </w:r>
      <w:r>
        <w:rPr>
          <w:rFonts w:ascii="Century" w:hAnsi="Century"/>
          <w:sz w:val="24"/>
          <w:szCs w:val="24"/>
        </w:rPr>
        <w:t>RE</w:t>
      </w:r>
      <w:r w:rsidRPr="004724CE">
        <w:rPr>
          <w:rFonts w:ascii="Century" w:hAnsi="Century"/>
          <w:sz w:val="24"/>
          <w:szCs w:val="24"/>
        </w:rPr>
        <w:t xml:space="preserve"> may waive the requirement for submitting a certification for projects with small quantities of material having a cost of less than $5,000 and that are not directly involved with the safety of the structure or the roadway. The material must still meet or exceed the specified material requirements.</w:t>
      </w:r>
      <w:r>
        <w:rPr>
          <w:rFonts w:ascii="Century" w:hAnsi="Century"/>
          <w:sz w:val="24"/>
          <w:szCs w:val="24"/>
        </w:rPr>
        <w:t xml:space="preserve"> </w:t>
      </w:r>
      <w:r w:rsidR="00073505" w:rsidRPr="00BF334C">
        <w:rPr>
          <w:rFonts w:ascii="Century" w:hAnsi="Century"/>
          <w:sz w:val="24"/>
          <w:szCs w:val="24"/>
        </w:rPr>
        <w:t xml:space="preserve">While the requirement to provide documentation may be waived, the material must still comply with all applicable specifications. Certification of minor quantities cannot be used for items that are subject to the Buy America Provisions. </w:t>
      </w:r>
      <w:r>
        <w:rPr>
          <w:rFonts w:ascii="Century" w:hAnsi="Century"/>
          <w:sz w:val="24"/>
          <w:szCs w:val="24"/>
        </w:rPr>
        <w:t xml:space="preserve">The RE </w:t>
      </w:r>
      <w:r w:rsidR="00A37B89">
        <w:rPr>
          <w:rFonts w:ascii="Century" w:hAnsi="Century"/>
          <w:sz w:val="24"/>
          <w:szCs w:val="24"/>
        </w:rPr>
        <w:t xml:space="preserve">must complete a </w:t>
      </w:r>
      <w:hyperlink r:id="rId17" w:history="1">
        <w:r w:rsidR="00A37B89" w:rsidRPr="0056740D">
          <w:rPr>
            <w:rStyle w:val="Hyperlink"/>
            <w:rFonts w:ascii="Century" w:hAnsi="Century"/>
            <w:b/>
            <w:sz w:val="24"/>
            <w:szCs w:val="24"/>
            <w:u w:val="none"/>
          </w:rPr>
          <w:t>TA555 Waive Small Quantity form</w:t>
        </w:r>
      </w:hyperlink>
      <w:r w:rsidR="00A37B89" w:rsidRPr="0056740D">
        <w:rPr>
          <w:rFonts w:ascii="Century" w:hAnsi="Century"/>
          <w:b/>
          <w:sz w:val="24"/>
          <w:szCs w:val="24"/>
        </w:rPr>
        <w:t>.</w:t>
      </w:r>
    </w:p>
    <w:p w14:paraId="58BB3455" w14:textId="77777777" w:rsidR="004724CE" w:rsidRPr="004724CE" w:rsidRDefault="004724CE" w:rsidP="004724CE">
      <w:pPr>
        <w:rPr>
          <w:rFonts w:ascii="Century" w:hAnsi="Century"/>
          <w:sz w:val="24"/>
          <w:szCs w:val="24"/>
        </w:rPr>
      </w:pPr>
    </w:p>
    <w:sectPr w:rsidR="004724CE" w:rsidRPr="004724CE" w:rsidSect="00EE25A3">
      <w:pgSz w:w="12240" w:h="15840"/>
      <w:pgMar w:top="270" w:right="5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1BD9"/>
    <w:multiLevelType w:val="hybridMultilevel"/>
    <w:tmpl w:val="1E54EB7C"/>
    <w:lvl w:ilvl="0" w:tplc="ADEA59F0">
      <w:start w:val="1"/>
      <w:numFmt w:val="upperRoman"/>
      <w:lvlText w:val="%1."/>
      <w:lvlJc w:val="left"/>
      <w:pPr>
        <w:ind w:left="1080" w:hanging="720"/>
      </w:pPr>
      <w:rPr>
        <w:rFonts w:ascii="Century" w:hAnsi="Century"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816E0"/>
    <w:multiLevelType w:val="hybridMultilevel"/>
    <w:tmpl w:val="1E54EB7C"/>
    <w:lvl w:ilvl="0" w:tplc="ADEA59F0">
      <w:start w:val="1"/>
      <w:numFmt w:val="upperRoman"/>
      <w:lvlText w:val="%1."/>
      <w:lvlJc w:val="left"/>
      <w:pPr>
        <w:ind w:left="1080" w:hanging="720"/>
      </w:pPr>
      <w:rPr>
        <w:rFonts w:ascii="Century" w:hAnsi="Century"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A8"/>
    <w:rsid w:val="000408A0"/>
    <w:rsid w:val="00046604"/>
    <w:rsid w:val="00073505"/>
    <w:rsid w:val="0009532A"/>
    <w:rsid w:val="000C3957"/>
    <w:rsid w:val="001253E1"/>
    <w:rsid w:val="00160F6E"/>
    <w:rsid w:val="003E1912"/>
    <w:rsid w:val="004724CE"/>
    <w:rsid w:val="0048566F"/>
    <w:rsid w:val="0056740D"/>
    <w:rsid w:val="005C7299"/>
    <w:rsid w:val="005E6D58"/>
    <w:rsid w:val="0076333C"/>
    <w:rsid w:val="00822ECF"/>
    <w:rsid w:val="009318B4"/>
    <w:rsid w:val="00956075"/>
    <w:rsid w:val="00A37B89"/>
    <w:rsid w:val="00B31906"/>
    <w:rsid w:val="00BB6F7A"/>
    <w:rsid w:val="00BE0F3C"/>
    <w:rsid w:val="00BF334C"/>
    <w:rsid w:val="00BF74AA"/>
    <w:rsid w:val="00CB20A8"/>
    <w:rsid w:val="00CD715A"/>
    <w:rsid w:val="00CF3370"/>
    <w:rsid w:val="00E336FB"/>
    <w:rsid w:val="00EE25A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54D"/>
  <w15:chartTrackingRefBased/>
  <w15:docId w15:val="{A486665C-FC70-4664-AC25-7C24FBE3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A8"/>
    <w:pPr>
      <w:ind w:left="720"/>
      <w:contextualSpacing/>
    </w:pPr>
  </w:style>
  <w:style w:type="character" w:styleId="Hyperlink">
    <w:name w:val="Hyperlink"/>
    <w:basedOn w:val="DefaultParagraphFont"/>
    <w:uiPriority w:val="99"/>
    <w:unhideWhenUsed/>
    <w:rsid w:val="00E336FB"/>
    <w:rPr>
      <w:color w:val="0563C1" w:themeColor="hyperlink"/>
      <w:u w:val="single"/>
    </w:rPr>
  </w:style>
  <w:style w:type="character" w:styleId="UnresolvedMention">
    <w:name w:val="Unresolved Mention"/>
    <w:basedOn w:val="DefaultParagraphFont"/>
    <w:uiPriority w:val="99"/>
    <w:semiHidden/>
    <w:unhideWhenUsed/>
    <w:rsid w:val="00E336FB"/>
    <w:rPr>
      <w:color w:val="605E5C"/>
      <w:shd w:val="clear" w:color="auto" w:fill="E1DFDD"/>
    </w:rPr>
  </w:style>
  <w:style w:type="character" w:styleId="FollowedHyperlink">
    <w:name w:val="FollowedHyperlink"/>
    <w:basedOn w:val="DefaultParagraphFont"/>
    <w:uiPriority w:val="99"/>
    <w:semiHidden/>
    <w:unhideWhenUsed/>
    <w:rsid w:val="00E33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side.vermont.gov/agency/VTRANS/external/MAB-LP/Shared%20Documents/8.%20%20Construction/Construction%20Inspection%20Forms/TA555%20Increase%20in%20Certified%20Quantity.docx" TargetMode="External"/><Relationship Id="rId13" Type="http://schemas.openxmlformats.org/officeDocument/2006/relationships/hyperlink" Target="https://outside.vermont.gov/agency/VTRANS/external/MAB-LP/Shared%20Documents/8.%20%20Construction/Construction%20Inspection%20Forms/TA556%20Approved%20Products%20List%20Form.doc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utside.vermont.gov/agency/VTRANS/external/MAB-LP/Shared%20Documents/8.%20%20Construction/Construction%20Inspection%20Forms/TA555%20Increase%20in%20Certified%20Quantity%20Guidance.pdf" TargetMode="External"/><Relationship Id="rId12" Type="http://schemas.openxmlformats.org/officeDocument/2006/relationships/hyperlink" Target="https://outside.vermont.gov/agency/VTRANS/external/MAB-LP/Shared%20Documents/8.%20%20Construction/Construction%20Inspection%20Forms/TA556%20Approved%20Products%20List%20Guidance.pdf" TargetMode="External"/><Relationship Id="rId17" Type="http://schemas.openxmlformats.org/officeDocument/2006/relationships/hyperlink" Target="https://outside.vermont.gov/agency/VTRANS/external/MAB-LP/Shared%20Documents/8.%20%20Construction/Construction%20Inspection%20Forms/TA555%20Waive%20Small%20Quantity.docx" TargetMode="External"/><Relationship Id="rId2" Type="http://schemas.openxmlformats.org/officeDocument/2006/relationships/styles" Target="styles.xml"/><Relationship Id="rId16" Type="http://schemas.openxmlformats.org/officeDocument/2006/relationships/hyperlink" Target="https://outside.vermont.gov/agency/VTRANS/external/MAB-LP/Shared%20Documents/8.%20%20Construction/Construction%20Inspection%20Forms/TA555%20Waive%20Small%20Quantity%20Guidance.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outside.vermont.gov/agency/vtrans/external/docs/construction/04MatTestCert/VTrans%20Quality%20Assurance%20Program.pdf" TargetMode="External"/><Relationship Id="rId11" Type="http://schemas.openxmlformats.org/officeDocument/2006/relationships/hyperlink" Target="https://vtrans.vermont.gov/highway/construct-material/test-cert/certification/approved-products-and-advanced-certifications" TargetMode="External"/><Relationship Id="rId5" Type="http://schemas.openxmlformats.org/officeDocument/2006/relationships/hyperlink" Target="https://outside.vermont.gov/agency/vtrans/external/docs/construction/04MatTestCert/VTrans%20Materials%20Sampling%20Manual.pdf" TargetMode="External"/><Relationship Id="rId15" Type="http://schemas.openxmlformats.org/officeDocument/2006/relationships/hyperlink" Target="https://outside.vermont.gov/agency/VTRANS/external/MAB-LP/Shared%20Documents/8.%20%20Construction/Construction%20Inspection%20Forms/TA557%20Minor%20Quantity%20Declaration.docx" TargetMode="External"/><Relationship Id="rId23" Type="http://schemas.openxmlformats.org/officeDocument/2006/relationships/customXml" Target="../customXml/item4.xml"/><Relationship Id="rId10" Type="http://schemas.openxmlformats.org/officeDocument/2006/relationships/hyperlink" Target="https://outside.vermont.gov/agency/VTRANS/external/MAB-LP/Shared%20Documents/8.%20%20Construction/Construction%20Inspection%20Forms/TA555%20Advance%20Certification%20List%20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tside.vermont.gov/agency/VTRANS/external/MAB-LP/Shared%20Documents/8.%20%20Construction/Construction%20Inspection%20Forms/TA555%20Advance%20Certification%20List%20Guidance.pdf" TargetMode="External"/><Relationship Id="rId14" Type="http://schemas.openxmlformats.org/officeDocument/2006/relationships/hyperlink" Target="https://outside.vermont.gov/agency/VTRANS/external/MAB-LP/Shared%20Documents/8.%20%20Construction/Construction%20Inspection%20Forms/TA557%20Minor%20Quantity%20Declaration%20Guidance.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E23TXWV46JPD-21268792-306</_dlc_DocId>
    <_dlc_DocIdUrl xmlns="22ec0dd7-095b-41f2-b8b8-a624496b8c6b">
      <Url>https://outside.vermont.gov/agency/VTRANS/external/MAB-LP/_layouts/15/DocIdRedir.aspx?ID=E23TXWV46JPD-21268792-306</Url>
      <Description>E23TXWV46JPD-21268792-306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1EBF1-BD93-4316-AE53-7B97DB961B37}"/>
</file>

<file path=customXml/itemProps2.xml><?xml version="1.0" encoding="utf-8"?>
<ds:datastoreItem xmlns:ds="http://schemas.openxmlformats.org/officeDocument/2006/customXml" ds:itemID="{E830B9C7-451D-4348-9055-5D3331352BD0}"/>
</file>

<file path=customXml/itemProps3.xml><?xml version="1.0" encoding="utf-8"?>
<ds:datastoreItem xmlns:ds="http://schemas.openxmlformats.org/officeDocument/2006/customXml" ds:itemID="{261E76D7-ABEF-44C0-8A5A-567182DDA8D9}"/>
</file>

<file path=customXml/itemProps4.xml><?xml version="1.0" encoding="utf-8"?>
<ds:datastoreItem xmlns:ds="http://schemas.openxmlformats.org/officeDocument/2006/customXml" ds:itemID="{C97FDD87-B21E-4265-A188-87FDEA150244}"/>
</file>

<file path=docProps/app.xml><?xml version="1.0" encoding="utf-8"?>
<Properties xmlns="http://schemas.openxmlformats.org/officeDocument/2006/extended-properties" xmlns:vt="http://schemas.openxmlformats.org/officeDocument/2006/docPropsVTypes">
  <Template>Normal</Template>
  <TotalTime>37</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Lemieux, Jon</dc:creator>
  <cp:keywords/>
  <dc:description/>
  <cp:lastModifiedBy>Lemieux, Jon</cp:lastModifiedBy>
  <cp:revision>12</cp:revision>
  <dcterms:created xsi:type="dcterms:W3CDTF">2018-10-02T16:43:00Z</dcterms:created>
  <dcterms:modified xsi:type="dcterms:W3CDTF">2019-07-01T19:43:00Z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cc5aea7d-ae82-4f33-8881-7b480d0202c5</vt:lpwstr>
  </property>
</Properties>
</file>